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vertAnchor="page" w:horzAnchor="margin" w:tblpY="3781"/>
        <w:tblW w:w="0" w:type="auto"/>
        <w:tblLook w:val="04A0" w:firstRow="1" w:lastRow="0" w:firstColumn="1" w:lastColumn="0" w:noHBand="0" w:noVBand="1"/>
      </w:tblPr>
      <w:tblGrid>
        <w:gridCol w:w="4544"/>
        <w:gridCol w:w="1547"/>
        <w:gridCol w:w="2693"/>
      </w:tblGrid>
      <w:tr w:rsidR="00DE2FB3" w:rsidRPr="004A4ADC" w14:paraId="6AF7ACF9" w14:textId="625C0F9C" w:rsidTr="00DE2FB3">
        <w:tc>
          <w:tcPr>
            <w:tcW w:w="4544" w:type="dxa"/>
          </w:tcPr>
          <w:p w14:paraId="102AEC33" w14:textId="77777777" w:rsidR="00DE2FB3" w:rsidRPr="004A4ADC" w:rsidRDefault="00DE2FB3" w:rsidP="00116698">
            <w:pPr>
              <w:rPr>
                <w:b/>
                <w:sz w:val="24"/>
                <w:szCs w:val="24"/>
              </w:rPr>
            </w:pPr>
            <w:r w:rsidRPr="004A4ADC">
              <w:rPr>
                <w:b/>
                <w:sz w:val="24"/>
                <w:szCs w:val="24"/>
              </w:rPr>
              <w:t>Intitulé des enseignements</w:t>
            </w:r>
          </w:p>
        </w:tc>
        <w:tc>
          <w:tcPr>
            <w:tcW w:w="1547" w:type="dxa"/>
          </w:tcPr>
          <w:p w14:paraId="59B40A30" w14:textId="239CC1C9" w:rsidR="00DE2FB3" w:rsidRPr="004A4ADC" w:rsidRDefault="00DE2FB3" w:rsidP="00116698">
            <w:pPr>
              <w:rPr>
                <w:b/>
                <w:sz w:val="24"/>
                <w:szCs w:val="24"/>
              </w:rPr>
            </w:pPr>
            <w:r w:rsidRPr="004A4ADC">
              <w:rPr>
                <w:b/>
                <w:sz w:val="24"/>
                <w:szCs w:val="24"/>
              </w:rPr>
              <w:t>ECTS</w:t>
            </w:r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coeff</w:t>
            </w:r>
            <w:proofErr w:type="spellEnd"/>
          </w:p>
        </w:tc>
        <w:tc>
          <w:tcPr>
            <w:tcW w:w="2693" w:type="dxa"/>
          </w:tcPr>
          <w:p w14:paraId="00CFBA41" w14:textId="0412BECF" w:rsidR="00DE2FB3" w:rsidRPr="004A4ADC" w:rsidRDefault="00DE2FB3" w:rsidP="0011669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MCC</w:t>
            </w:r>
          </w:p>
        </w:tc>
      </w:tr>
      <w:tr w:rsidR="00DE2FB3" w:rsidRPr="004A4ADC" w14:paraId="04BC94EC" w14:textId="3C28F647" w:rsidTr="00DE2FB3">
        <w:tc>
          <w:tcPr>
            <w:tcW w:w="4544" w:type="dxa"/>
          </w:tcPr>
          <w:p w14:paraId="3AB3CEFC" w14:textId="198DE45B" w:rsidR="00DE2FB3" w:rsidRPr="004A4ADC" w:rsidRDefault="00DE2FB3" w:rsidP="0011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Systèmes</w:t>
            </w:r>
            <w:r w:rsidRPr="004A4ADC">
              <w:rPr>
                <w:sz w:val="24"/>
                <w:szCs w:val="24"/>
              </w:rPr>
              <w:t xml:space="preserve"> et économie agro-alimentaire</w:t>
            </w:r>
            <w:r>
              <w:rPr>
                <w:sz w:val="24"/>
                <w:szCs w:val="24"/>
              </w:rPr>
              <w:t>s</w:t>
            </w:r>
          </w:p>
        </w:tc>
        <w:tc>
          <w:tcPr>
            <w:tcW w:w="1547" w:type="dxa"/>
          </w:tcPr>
          <w:p w14:paraId="1F185D36" w14:textId="50F3EB7B" w:rsidR="00DE2FB3" w:rsidRPr="004A4ADC" w:rsidRDefault="0091285D" w:rsidP="0011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0A7CD126" w14:textId="543BCA92" w:rsidR="00DE2FB3" w:rsidRPr="004A4ADC" w:rsidRDefault="00DE2FB3" w:rsidP="001166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Contrôle continu</w:t>
            </w:r>
          </w:p>
        </w:tc>
      </w:tr>
      <w:tr w:rsidR="00DE2FB3" w:rsidRPr="004A4ADC" w14:paraId="159E524D" w14:textId="71704517" w:rsidTr="00DE2FB3">
        <w:tc>
          <w:tcPr>
            <w:tcW w:w="4544" w:type="dxa"/>
          </w:tcPr>
          <w:p w14:paraId="51A9CCF8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Politiques de gestion des risques sanitaires</w:t>
            </w:r>
          </w:p>
        </w:tc>
        <w:tc>
          <w:tcPr>
            <w:tcW w:w="1547" w:type="dxa"/>
          </w:tcPr>
          <w:p w14:paraId="7A291883" w14:textId="313B2F40" w:rsidR="00DE2FB3" w:rsidRPr="004A4ADC" w:rsidRDefault="0091285D" w:rsidP="00DE2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7B177C96" w14:textId="764AFB74" w:rsidR="00DE2FB3" w:rsidRPr="004A4ADC" w:rsidRDefault="00DE2FB3" w:rsidP="00DE2FB3">
            <w:pPr>
              <w:rPr>
                <w:sz w:val="24"/>
                <w:szCs w:val="24"/>
              </w:rPr>
            </w:pPr>
            <w:r w:rsidRPr="000B6345">
              <w:rPr>
                <w:sz w:val="24"/>
                <w:szCs w:val="24"/>
              </w:rPr>
              <w:t>Contrôle continu</w:t>
            </w:r>
          </w:p>
        </w:tc>
      </w:tr>
      <w:tr w:rsidR="00DE2FB3" w:rsidRPr="004A4ADC" w14:paraId="2333AA55" w14:textId="4F1382CC" w:rsidTr="00DE2FB3">
        <w:tc>
          <w:tcPr>
            <w:tcW w:w="4544" w:type="dxa"/>
          </w:tcPr>
          <w:p w14:paraId="75C81F6C" w14:textId="737E29B5" w:rsidR="00DE2FB3" w:rsidRPr="004A4ADC" w:rsidRDefault="00DE2FB3" w:rsidP="00DE2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Politiques de l’alimentation</w:t>
            </w:r>
          </w:p>
        </w:tc>
        <w:tc>
          <w:tcPr>
            <w:tcW w:w="1547" w:type="dxa"/>
          </w:tcPr>
          <w:p w14:paraId="196A6F11" w14:textId="187F6DAB" w:rsidR="00DE2FB3" w:rsidRPr="004A4ADC" w:rsidRDefault="0091285D" w:rsidP="00DE2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3A8DB323" w14:textId="359D8A13" w:rsidR="00DE2FB3" w:rsidRPr="004A4ADC" w:rsidRDefault="00DE2FB3" w:rsidP="00DE2FB3">
            <w:pPr>
              <w:rPr>
                <w:sz w:val="24"/>
                <w:szCs w:val="24"/>
              </w:rPr>
            </w:pPr>
            <w:r w:rsidRPr="000B6345">
              <w:rPr>
                <w:sz w:val="24"/>
                <w:szCs w:val="24"/>
              </w:rPr>
              <w:t>Contrôle continu</w:t>
            </w:r>
          </w:p>
        </w:tc>
      </w:tr>
      <w:tr w:rsidR="00DE2FB3" w:rsidRPr="004A4ADC" w14:paraId="169990F0" w14:textId="691E1630" w:rsidTr="00DE2FB3">
        <w:tc>
          <w:tcPr>
            <w:tcW w:w="4544" w:type="dxa"/>
          </w:tcPr>
          <w:p w14:paraId="101A397A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Politiques internationales</w:t>
            </w:r>
          </w:p>
        </w:tc>
        <w:tc>
          <w:tcPr>
            <w:tcW w:w="1547" w:type="dxa"/>
          </w:tcPr>
          <w:p w14:paraId="591BB271" w14:textId="453BDFC6" w:rsidR="00DE2FB3" w:rsidRPr="004A4ADC" w:rsidRDefault="0091285D" w:rsidP="00DE2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42460C6C" w14:textId="77C6DB55" w:rsidR="00DE2FB3" w:rsidRPr="004A4ADC" w:rsidRDefault="00DE2FB3" w:rsidP="00DE2FB3">
            <w:pPr>
              <w:rPr>
                <w:sz w:val="24"/>
                <w:szCs w:val="24"/>
              </w:rPr>
            </w:pPr>
            <w:r w:rsidRPr="000B6345">
              <w:rPr>
                <w:sz w:val="24"/>
                <w:szCs w:val="24"/>
              </w:rPr>
              <w:t>Contrôle continu</w:t>
            </w:r>
          </w:p>
        </w:tc>
      </w:tr>
      <w:tr w:rsidR="00DE2FB3" w:rsidRPr="004A4ADC" w14:paraId="35643B5D" w14:textId="14577509" w:rsidTr="00DE2FB3">
        <w:tc>
          <w:tcPr>
            <w:tcW w:w="4544" w:type="dxa"/>
          </w:tcPr>
          <w:p w14:paraId="1C5A12A5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Méthodes des sciences sociales</w:t>
            </w:r>
          </w:p>
        </w:tc>
        <w:tc>
          <w:tcPr>
            <w:tcW w:w="1547" w:type="dxa"/>
          </w:tcPr>
          <w:p w14:paraId="4689F40C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7A31A006" w14:textId="22D94351" w:rsidR="00DE2FB3" w:rsidRPr="004A4ADC" w:rsidRDefault="00DE2FB3" w:rsidP="00DE2FB3">
            <w:pPr>
              <w:rPr>
                <w:sz w:val="24"/>
                <w:szCs w:val="24"/>
              </w:rPr>
            </w:pPr>
            <w:r w:rsidRPr="000B6345">
              <w:rPr>
                <w:sz w:val="24"/>
                <w:szCs w:val="24"/>
              </w:rPr>
              <w:t>Contrôle continu</w:t>
            </w:r>
          </w:p>
        </w:tc>
      </w:tr>
      <w:tr w:rsidR="00DE2FB3" w:rsidRPr="004A4ADC" w14:paraId="3A1D7E73" w14:textId="5CD50A80" w:rsidTr="00DE2FB3">
        <w:tc>
          <w:tcPr>
            <w:tcW w:w="4544" w:type="dxa"/>
          </w:tcPr>
          <w:p w14:paraId="614631CE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Les instruments de l’analyse des politiques publiques</w:t>
            </w:r>
          </w:p>
        </w:tc>
        <w:tc>
          <w:tcPr>
            <w:tcW w:w="1547" w:type="dxa"/>
          </w:tcPr>
          <w:p w14:paraId="5CF18F90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7400C84F" w14:textId="03F84296" w:rsidR="00DE2FB3" w:rsidRPr="004A4ADC" w:rsidRDefault="00DE2FB3" w:rsidP="00DE2FB3">
            <w:pPr>
              <w:rPr>
                <w:sz w:val="24"/>
                <w:szCs w:val="24"/>
              </w:rPr>
            </w:pPr>
            <w:r w:rsidRPr="000B6345">
              <w:rPr>
                <w:sz w:val="24"/>
                <w:szCs w:val="24"/>
              </w:rPr>
              <w:t>Contrôle continu</w:t>
            </w:r>
          </w:p>
        </w:tc>
      </w:tr>
      <w:tr w:rsidR="00DE2FB3" w:rsidRPr="004A4ADC" w14:paraId="5D5A18A4" w14:textId="5D11698C" w:rsidTr="00DE2FB3">
        <w:tc>
          <w:tcPr>
            <w:tcW w:w="4544" w:type="dxa"/>
          </w:tcPr>
          <w:p w14:paraId="1888D447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Politiques de l’environnement et du développement durable</w:t>
            </w:r>
          </w:p>
        </w:tc>
        <w:tc>
          <w:tcPr>
            <w:tcW w:w="1547" w:type="dxa"/>
          </w:tcPr>
          <w:p w14:paraId="54445ABE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000AFA9A" w14:textId="661F24E5" w:rsidR="00DE2FB3" w:rsidRPr="004A4ADC" w:rsidRDefault="00DE2FB3" w:rsidP="00DE2FB3">
            <w:pPr>
              <w:rPr>
                <w:sz w:val="24"/>
                <w:szCs w:val="24"/>
              </w:rPr>
            </w:pPr>
            <w:r w:rsidRPr="000B6345">
              <w:rPr>
                <w:sz w:val="24"/>
                <w:szCs w:val="24"/>
              </w:rPr>
              <w:t>Contrôle continu</w:t>
            </w:r>
          </w:p>
        </w:tc>
      </w:tr>
      <w:tr w:rsidR="00DE2FB3" w:rsidRPr="004A4ADC" w14:paraId="4195B172" w14:textId="403C9826" w:rsidTr="00DE2FB3">
        <w:tc>
          <w:tcPr>
            <w:tcW w:w="4544" w:type="dxa"/>
          </w:tcPr>
          <w:p w14:paraId="647041D0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Politiques de santé publique</w:t>
            </w:r>
          </w:p>
        </w:tc>
        <w:tc>
          <w:tcPr>
            <w:tcW w:w="1547" w:type="dxa"/>
          </w:tcPr>
          <w:p w14:paraId="4199BA87" w14:textId="77777777" w:rsidR="00DE2FB3" w:rsidRPr="004A4ADC" w:rsidRDefault="00DE2FB3" w:rsidP="00DE2FB3">
            <w:pPr>
              <w:rPr>
                <w:sz w:val="24"/>
                <w:szCs w:val="24"/>
              </w:rPr>
            </w:pPr>
            <w:r w:rsidRPr="004A4ADC"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6FA5B81B" w14:textId="53D74C11" w:rsidR="00DE2FB3" w:rsidRPr="004A4ADC" w:rsidRDefault="00DE2FB3" w:rsidP="00DE2FB3">
            <w:pPr>
              <w:rPr>
                <w:sz w:val="24"/>
                <w:szCs w:val="24"/>
              </w:rPr>
            </w:pPr>
            <w:r w:rsidRPr="000B6345">
              <w:rPr>
                <w:sz w:val="24"/>
                <w:szCs w:val="24"/>
              </w:rPr>
              <w:t>Contrôle continu</w:t>
            </w:r>
          </w:p>
        </w:tc>
      </w:tr>
      <w:tr w:rsidR="00DE2FB3" w:rsidRPr="004A4ADC" w14:paraId="7DC83A9A" w14:textId="4394C42B" w:rsidTr="00DE2FB3">
        <w:tc>
          <w:tcPr>
            <w:tcW w:w="4544" w:type="dxa"/>
          </w:tcPr>
          <w:p w14:paraId="26C54B8A" w14:textId="04772FB9" w:rsidR="00DE2FB3" w:rsidRPr="004A4ADC" w:rsidRDefault="000F37AC" w:rsidP="00DE2FB3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Anglais</w:t>
            </w:r>
            <w:proofErr w:type="spellEnd"/>
          </w:p>
        </w:tc>
        <w:tc>
          <w:tcPr>
            <w:tcW w:w="1547" w:type="dxa"/>
          </w:tcPr>
          <w:p w14:paraId="79EFC0E6" w14:textId="77777777" w:rsidR="00DE2FB3" w:rsidRPr="004A4ADC" w:rsidRDefault="00DE2FB3" w:rsidP="00DE2FB3">
            <w:pPr>
              <w:rPr>
                <w:sz w:val="24"/>
                <w:szCs w:val="24"/>
                <w:lang w:val="en-US"/>
              </w:rPr>
            </w:pPr>
            <w:r w:rsidRPr="004A4AD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693" w:type="dxa"/>
          </w:tcPr>
          <w:p w14:paraId="3D366FE0" w14:textId="058E1114" w:rsidR="00DE2FB3" w:rsidRPr="004A4ADC" w:rsidRDefault="00DE2FB3" w:rsidP="00DE2FB3">
            <w:pPr>
              <w:rPr>
                <w:sz w:val="24"/>
                <w:szCs w:val="24"/>
                <w:lang w:val="en-US"/>
              </w:rPr>
            </w:pPr>
            <w:r w:rsidRPr="000B6345">
              <w:rPr>
                <w:sz w:val="24"/>
                <w:szCs w:val="24"/>
              </w:rPr>
              <w:t>Contrôle continu</w:t>
            </w:r>
          </w:p>
        </w:tc>
      </w:tr>
      <w:tr w:rsidR="003C29E2" w:rsidRPr="004A4ADC" w14:paraId="7ADFF5C9" w14:textId="77777777" w:rsidTr="00DE2FB3">
        <w:tc>
          <w:tcPr>
            <w:tcW w:w="4544" w:type="dxa"/>
          </w:tcPr>
          <w:p w14:paraId="022FF8BD" w14:textId="538D4D7D" w:rsidR="003C29E2" w:rsidRPr="004A4ADC" w:rsidRDefault="003C29E2" w:rsidP="00DE2FB3">
            <w:pPr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Epidémiologie</w:t>
            </w:r>
            <w:proofErr w:type="spellEnd"/>
          </w:p>
        </w:tc>
        <w:tc>
          <w:tcPr>
            <w:tcW w:w="1547" w:type="dxa"/>
          </w:tcPr>
          <w:p w14:paraId="056622A3" w14:textId="5BF90A0E" w:rsidR="003C29E2" w:rsidRPr="004A4ADC" w:rsidRDefault="003C29E2" w:rsidP="00DE2FB3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3A4B6EA1" w14:textId="2224B973" w:rsidR="003C29E2" w:rsidRPr="000B6345" w:rsidRDefault="002172D4" w:rsidP="00DE2F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Facultatif</w:t>
            </w:r>
          </w:p>
        </w:tc>
      </w:tr>
      <w:tr w:rsidR="00DE2FB3" w:rsidRPr="004A4ADC" w14:paraId="2F2913DB" w14:textId="6C6EBE70" w:rsidTr="00DE2FB3">
        <w:tc>
          <w:tcPr>
            <w:tcW w:w="4544" w:type="dxa"/>
          </w:tcPr>
          <w:p w14:paraId="057D1A50" w14:textId="77777777" w:rsidR="00DE2FB3" w:rsidRPr="004A4ADC" w:rsidRDefault="00DE2FB3" w:rsidP="00116698">
            <w:pPr>
              <w:rPr>
                <w:sz w:val="24"/>
                <w:szCs w:val="24"/>
                <w:lang w:val="en-US"/>
              </w:rPr>
            </w:pPr>
            <w:r w:rsidRPr="004A4ADC">
              <w:rPr>
                <w:sz w:val="24"/>
                <w:szCs w:val="24"/>
                <w:lang w:val="en-US"/>
              </w:rPr>
              <w:t xml:space="preserve">Stage et </w:t>
            </w:r>
            <w:proofErr w:type="spellStart"/>
            <w:r w:rsidRPr="004A4ADC">
              <w:rPr>
                <w:sz w:val="24"/>
                <w:szCs w:val="24"/>
                <w:lang w:val="en-US"/>
              </w:rPr>
              <w:t>mémoire</w:t>
            </w:r>
            <w:proofErr w:type="spellEnd"/>
          </w:p>
        </w:tc>
        <w:tc>
          <w:tcPr>
            <w:tcW w:w="1547" w:type="dxa"/>
          </w:tcPr>
          <w:p w14:paraId="2B6725FD" w14:textId="77777777" w:rsidR="00DE2FB3" w:rsidRPr="004A4ADC" w:rsidRDefault="00DE2FB3" w:rsidP="00116698">
            <w:pPr>
              <w:rPr>
                <w:sz w:val="24"/>
                <w:szCs w:val="24"/>
                <w:lang w:val="en-US"/>
              </w:rPr>
            </w:pPr>
            <w:r w:rsidRPr="004A4ADC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2693" w:type="dxa"/>
          </w:tcPr>
          <w:p w14:paraId="6F8CB543" w14:textId="22DCA922" w:rsidR="00DE2FB3" w:rsidRPr="004A4ADC" w:rsidRDefault="00DE2FB3" w:rsidP="0011669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Rapport et </w:t>
            </w:r>
            <w:proofErr w:type="spellStart"/>
            <w:r>
              <w:rPr>
                <w:sz w:val="24"/>
                <w:szCs w:val="24"/>
                <w:lang w:val="en-US"/>
              </w:rPr>
              <w:t>soutenance</w:t>
            </w:r>
            <w:proofErr w:type="spellEnd"/>
          </w:p>
        </w:tc>
      </w:tr>
      <w:tr w:rsidR="002172D4" w:rsidRPr="004A4ADC" w14:paraId="0EB496A4" w14:textId="77777777" w:rsidTr="00DE2FB3">
        <w:tc>
          <w:tcPr>
            <w:tcW w:w="4544" w:type="dxa"/>
          </w:tcPr>
          <w:p w14:paraId="78D0DDE4" w14:textId="310005E0" w:rsidR="002172D4" w:rsidRPr="004A4ADC" w:rsidRDefault="002172D4" w:rsidP="0011669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Total</w:t>
            </w:r>
          </w:p>
        </w:tc>
        <w:tc>
          <w:tcPr>
            <w:tcW w:w="1547" w:type="dxa"/>
          </w:tcPr>
          <w:p w14:paraId="7FDD7C92" w14:textId="176BF170" w:rsidR="002172D4" w:rsidRPr="004A4ADC" w:rsidRDefault="002172D4" w:rsidP="0011669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2693" w:type="dxa"/>
          </w:tcPr>
          <w:p w14:paraId="6F00D9E8" w14:textId="77777777" w:rsidR="002172D4" w:rsidRDefault="002172D4" w:rsidP="00116698">
            <w:pPr>
              <w:rPr>
                <w:sz w:val="24"/>
                <w:szCs w:val="24"/>
                <w:lang w:val="en-US"/>
              </w:rPr>
            </w:pPr>
          </w:p>
        </w:tc>
      </w:tr>
    </w:tbl>
    <w:p w14:paraId="57D7DE1A" w14:textId="77777777" w:rsidR="00116698" w:rsidRDefault="00116698" w:rsidP="00DE4DF1">
      <w:pPr>
        <w:jc w:val="center"/>
        <w:rPr>
          <w:b/>
          <w:sz w:val="28"/>
          <w:szCs w:val="28"/>
        </w:rPr>
      </w:pPr>
    </w:p>
    <w:p w14:paraId="55EB9432" w14:textId="54D09DF7" w:rsidR="000D330F" w:rsidRPr="00DE4DF1" w:rsidRDefault="00DE4DF1" w:rsidP="00DE4DF1">
      <w:pPr>
        <w:jc w:val="center"/>
        <w:rPr>
          <w:b/>
          <w:sz w:val="28"/>
          <w:szCs w:val="28"/>
        </w:rPr>
      </w:pPr>
      <w:r w:rsidRPr="00DE4DF1">
        <w:rPr>
          <w:b/>
          <w:sz w:val="28"/>
          <w:szCs w:val="28"/>
        </w:rPr>
        <w:t xml:space="preserve">Maquette Cours Master </w:t>
      </w:r>
      <w:r w:rsidR="00340236">
        <w:rPr>
          <w:b/>
          <w:sz w:val="28"/>
          <w:szCs w:val="28"/>
        </w:rPr>
        <w:t>mention Science Politique</w:t>
      </w:r>
      <w:r w:rsidRPr="00DE4DF1">
        <w:rPr>
          <w:b/>
          <w:sz w:val="28"/>
          <w:szCs w:val="28"/>
        </w:rPr>
        <w:t xml:space="preserve"> Parcours Politiques publiques de l’alimentation et de gestion des risques sanitaires</w:t>
      </w:r>
    </w:p>
    <w:p w14:paraId="49A1219F" w14:textId="406F5061" w:rsidR="003C4B75" w:rsidRDefault="003C4B75">
      <w:pPr>
        <w:rPr>
          <w:sz w:val="24"/>
          <w:szCs w:val="24"/>
        </w:rPr>
      </w:pPr>
    </w:p>
    <w:p w14:paraId="2BB8DCF8" w14:textId="77777777" w:rsidR="00116698" w:rsidRDefault="00116698">
      <w:pPr>
        <w:rPr>
          <w:sz w:val="24"/>
          <w:szCs w:val="24"/>
        </w:rPr>
      </w:pPr>
    </w:p>
    <w:p w14:paraId="10457B7F" w14:textId="6B6E7018" w:rsidR="00856863" w:rsidRPr="003C4B75" w:rsidRDefault="00856863">
      <w:pPr>
        <w:rPr>
          <w:sz w:val="24"/>
          <w:szCs w:val="24"/>
        </w:rPr>
      </w:pPr>
    </w:p>
    <w:sectPr w:rsidR="00856863" w:rsidRPr="003C4B75" w:rsidSect="00B02E34">
      <w:headerReference w:type="default" r:id="rId6"/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D289F" w14:textId="77777777" w:rsidR="00E53610" w:rsidRDefault="00E53610" w:rsidP="00116698">
      <w:pPr>
        <w:spacing w:after="0" w:line="240" w:lineRule="auto"/>
      </w:pPr>
      <w:r>
        <w:separator/>
      </w:r>
    </w:p>
  </w:endnote>
  <w:endnote w:type="continuationSeparator" w:id="0">
    <w:p w14:paraId="20D43C67" w14:textId="77777777" w:rsidR="00E53610" w:rsidRDefault="00E53610" w:rsidP="00116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F1809" w14:textId="77777777" w:rsidR="00E53610" w:rsidRDefault="00E53610" w:rsidP="00116698">
      <w:pPr>
        <w:spacing w:after="0" w:line="240" w:lineRule="auto"/>
      </w:pPr>
      <w:r>
        <w:separator/>
      </w:r>
    </w:p>
  </w:footnote>
  <w:footnote w:type="continuationSeparator" w:id="0">
    <w:p w14:paraId="64AAFF5A" w14:textId="77777777" w:rsidR="00E53610" w:rsidRDefault="00E53610" w:rsidP="00116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3296C" w14:textId="2A18AF17" w:rsidR="00116698" w:rsidRDefault="00AE0C2D" w:rsidP="00B02E34">
    <w:pPr>
      <w:pStyle w:val="En-tte"/>
      <w:ind w:left="-1276"/>
    </w:pPr>
    <w:r>
      <w:rPr>
        <w:noProof/>
        <w:lang w:eastAsia="fr-FR"/>
      </w:rPr>
      <w:drawing>
        <wp:inline distT="0" distB="0" distL="0" distR="0" wp14:anchorId="5D80D86A" wp14:editId="7E1E0739">
          <wp:extent cx="1733550" cy="984250"/>
          <wp:effectExtent l="0" t="0" r="0" b="6350"/>
          <wp:docPr id="60" name="Image 60" descr="C:\Users\sgardon\AppData\Local\Microsoft\Windows\INetCache\Content.MSO\F28A3367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ardon\AppData\Local\Microsoft\Windows\INetCache\Content.MSO\F28A3367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984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16698">
      <w:rPr>
        <w:noProof/>
        <w:lang w:eastAsia="fr-FR"/>
      </w:rPr>
      <w:drawing>
        <wp:inline distT="0" distB="0" distL="0" distR="0" wp14:anchorId="6340C3F7" wp14:editId="36CC5C96">
          <wp:extent cx="1866900" cy="742950"/>
          <wp:effectExtent l="0" t="0" r="0" b="0"/>
          <wp:docPr id="61" name="Image 61" descr="http://pers.sciencespo-lyon.fr/sites/default/files/article/images/2017/spl_logo-cb_cmjn_impression-transparent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http://pers.sciencespo-lyon.fr/sites/default/files/article/images/2017/spl_logo-cb_cmjn_impression-transparent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2E34">
      <w:rPr>
        <w:rFonts w:ascii="Times" w:eastAsiaTheme="minorEastAsia" w:hAnsi="Times" w:cs="Times"/>
        <w:noProof/>
        <w:color w:val="000000"/>
        <w:lang w:eastAsia="fr-FR"/>
      </w:rPr>
      <w:drawing>
        <wp:inline distT="0" distB="0" distL="0" distR="0" wp14:anchorId="1001C20D" wp14:editId="162334F0">
          <wp:extent cx="3556000" cy="815975"/>
          <wp:effectExtent l="0" t="0" r="6350" b="3175"/>
          <wp:docPr id="62" name="Image 62" descr="C:\Users\sgardon\AppData\Local\Microsoft\Windows\INetCache\Content.MSO\75A4F879.tmp">
            <a:hlinkClick xmlns:a="http://schemas.openxmlformats.org/drawingml/2006/main" r:id="rId3" tgtFrame="_blank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gardon\AppData\Local\Microsoft\Windows\INetCache\Content.MSO\75A4F879.tmp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84863" cy="8225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ADC"/>
    <w:rsid w:val="000462CB"/>
    <w:rsid w:val="00090115"/>
    <w:rsid w:val="000D330F"/>
    <w:rsid w:val="000F37AC"/>
    <w:rsid w:val="00116698"/>
    <w:rsid w:val="00205774"/>
    <w:rsid w:val="002172D4"/>
    <w:rsid w:val="00340236"/>
    <w:rsid w:val="003C29E2"/>
    <w:rsid w:val="003C4B75"/>
    <w:rsid w:val="004252E8"/>
    <w:rsid w:val="00497183"/>
    <w:rsid w:val="004A4ADC"/>
    <w:rsid w:val="00516BFA"/>
    <w:rsid w:val="00564822"/>
    <w:rsid w:val="005B2900"/>
    <w:rsid w:val="006811D6"/>
    <w:rsid w:val="006A4B4F"/>
    <w:rsid w:val="00856863"/>
    <w:rsid w:val="0088341A"/>
    <w:rsid w:val="008A0F14"/>
    <w:rsid w:val="008C13AC"/>
    <w:rsid w:val="0091285D"/>
    <w:rsid w:val="009B53DA"/>
    <w:rsid w:val="009F005B"/>
    <w:rsid w:val="00A23C8A"/>
    <w:rsid w:val="00A93B66"/>
    <w:rsid w:val="00AB2D31"/>
    <w:rsid w:val="00AE0C2D"/>
    <w:rsid w:val="00B02E34"/>
    <w:rsid w:val="00B371A6"/>
    <w:rsid w:val="00BA2346"/>
    <w:rsid w:val="00CF3379"/>
    <w:rsid w:val="00DE2FB3"/>
    <w:rsid w:val="00DE4DF1"/>
    <w:rsid w:val="00E047AB"/>
    <w:rsid w:val="00E53610"/>
    <w:rsid w:val="00EF1FD2"/>
    <w:rsid w:val="00F43D6E"/>
    <w:rsid w:val="00F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E371B9"/>
  <w15:docId w15:val="{BF65627B-187D-4E7E-BB9D-E141444C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A4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A4AD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4AD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A4AD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4AD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4AD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4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A4AD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16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16698"/>
  </w:style>
  <w:style w:type="paragraph" w:styleId="Pieddepage">
    <w:name w:val="footer"/>
    <w:basedOn w:val="Normal"/>
    <w:link w:val="PieddepageCar"/>
    <w:uiPriority w:val="99"/>
    <w:unhideWhenUsed/>
    <w:rsid w:val="00116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16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sv.fr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532E25944B14CB37CA562384DE74E" ma:contentTypeVersion="12" ma:contentTypeDescription="Crée un document." ma:contentTypeScope="" ma:versionID="d7ffeda8de9c20636ec8c9aa8e583262">
  <xsd:schema xmlns:xsd="http://www.w3.org/2001/XMLSchema" xmlns:xs="http://www.w3.org/2001/XMLSchema" xmlns:p="http://schemas.microsoft.com/office/2006/metadata/properties" xmlns:ns2="5eb5dc2f-5cbd-41b0-abe1-34c94fffce20" xmlns:ns3="23d4f7f9-7273-45e4-b5f5-3136869bf917" targetNamespace="http://schemas.microsoft.com/office/2006/metadata/properties" ma:root="true" ma:fieldsID="bed63990744b0df6945fd9152a923486" ns2:_="" ns3:_="">
    <xsd:import namespace="5eb5dc2f-5cbd-41b0-abe1-34c94fffce20"/>
    <xsd:import namespace="23d4f7f9-7273-45e4-b5f5-3136869bf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5dc2f-5cbd-41b0-abe1-34c94fffc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ea49d64-a85b-4bdb-83f5-972de01d38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4f7f9-7273-45e4-b5f5-3136869bf9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42175d-a28f-4c21-9e57-66b5418e28c9}" ma:internalName="TaxCatchAll" ma:showField="CatchAllData" ma:web="23d4f7f9-7273-45e4-b5f5-3136869bf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b5dc2f-5cbd-41b0-abe1-34c94fffce20">
      <Terms xmlns="http://schemas.microsoft.com/office/infopath/2007/PartnerControls"/>
    </lcf76f155ced4ddcb4097134ff3c332f>
    <TaxCatchAll xmlns="23d4f7f9-7273-45e4-b5f5-3136869bf917" xsi:nil="true"/>
  </documentManagement>
</p:properties>
</file>

<file path=customXml/itemProps1.xml><?xml version="1.0" encoding="utf-8"?>
<ds:datastoreItem xmlns:ds="http://schemas.openxmlformats.org/officeDocument/2006/customXml" ds:itemID="{AFE3F635-A479-4006-A281-8C5119CF4084}"/>
</file>

<file path=customXml/itemProps2.xml><?xml version="1.0" encoding="utf-8"?>
<ds:datastoreItem xmlns:ds="http://schemas.openxmlformats.org/officeDocument/2006/customXml" ds:itemID="{C42DE478-CA32-491A-97FC-0FFA4F290C93}"/>
</file>

<file path=customXml/itemProps3.xml><?xml version="1.0" encoding="utf-8"?>
<ds:datastoreItem xmlns:ds="http://schemas.openxmlformats.org/officeDocument/2006/customXml" ds:itemID="{EF9EED21-312D-4FF5-B0C1-A22F1B0DFEC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644</Characters>
  <Application>Microsoft Office Word</Application>
  <DocSecurity>4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Gwenola Le Naour</dc:creator>
  <cp:lastModifiedBy>Ronchetti Fahima</cp:lastModifiedBy>
  <cp:revision>2</cp:revision>
  <cp:lastPrinted>2018-10-05T11:05:00Z</cp:lastPrinted>
  <dcterms:created xsi:type="dcterms:W3CDTF">2025-03-04T12:00:00Z</dcterms:created>
  <dcterms:modified xsi:type="dcterms:W3CDTF">2025-03-04T12:00:00Z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0x010100177532E25944B14CB37CA562384DE74E</vt:lpwstr>
  </property>
</Properties>
</file>